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E6EC5" w14:textId="0920A453" w:rsidR="005E676F" w:rsidRPr="005E676F" w:rsidRDefault="005E676F" w:rsidP="005E676F">
      <w:pPr>
        <w:jc w:val="center"/>
        <w:rPr>
          <w:b/>
          <w:bCs/>
        </w:rPr>
      </w:pPr>
      <w:r w:rsidRPr="005E676F">
        <w:rPr>
          <w:b/>
          <w:bCs/>
        </w:rPr>
        <w:t>CACFP RENEWAL GUIDELINES</w:t>
      </w:r>
    </w:p>
    <w:p w14:paraId="4383EE46" w14:textId="280B8CE2" w:rsidR="005E676F" w:rsidRPr="00B81E74" w:rsidRDefault="005E676F" w:rsidP="004D3403">
      <w:pPr>
        <w:jc w:val="center"/>
      </w:pPr>
      <w:r w:rsidRPr="00B81E74">
        <w:t>How to Submit an Approvable Renewal Application</w:t>
      </w:r>
    </w:p>
    <w:p w14:paraId="079BC1FE" w14:textId="77777777" w:rsidR="004D3403" w:rsidRPr="005E676F" w:rsidRDefault="004D3403" w:rsidP="00B81E74">
      <w:pPr>
        <w:jc w:val="center"/>
      </w:pPr>
      <w:r w:rsidRPr="005E676F">
        <w:rPr>
          <w:b/>
          <w:bCs/>
        </w:rPr>
        <w:t>NEW FOR PROGRAM YEAR 2026</w:t>
      </w:r>
      <w:r>
        <w:rPr>
          <w:b/>
          <w:bCs/>
        </w:rPr>
        <w:t>-</w:t>
      </w:r>
      <w:r w:rsidRPr="005E676F">
        <w:rPr>
          <w:b/>
          <w:bCs/>
        </w:rPr>
        <w:t>2027</w:t>
      </w:r>
      <w:r w:rsidRPr="005E676F">
        <w:t xml:space="preserve"> (</w:t>
      </w:r>
      <w:r w:rsidRPr="00B81E74">
        <w:rPr>
          <w:i/>
          <w:iCs/>
        </w:rPr>
        <w:t>October 1, 2026 - September 30, 2027</w:t>
      </w:r>
      <w:r w:rsidRPr="005E676F">
        <w:t>)</w:t>
      </w:r>
    </w:p>
    <w:p w14:paraId="7D6DD92E" w14:textId="77777777" w:rsidR="004D3403" w:rsidRPr="00496960" w:rsidRDefault="004D3403" w:rsidP="004D3403">
      <w:pPr>
        <w:rPr>
          <w:b/>
          <w:bCs/>
          <w:u w:val="single"/>
        </w:rPr>
      </w:pPr>
      <w:r w:rsidRPr="00496960">
        <w:rPr>
          <w:b/>
          <w:bCs/>
          <w:u w:val="single"/>
        </w:rPr>
        <w:t>Sponsor-under-Sponsor Organizations:</w:t>
      </w:r>
    </w:p>
    <w:p w14:paraId="488B0F99" w14:textId="3F45872D" w:rsidR="004D3403" w:rsidRDefault="000D6128" w:rsidP="004D3403">
      <w:pPr>
        <w:pStyle w:val="ListParagraph"/>
        <w:numPr>
          <w:ilvl w:val="0"/>
          <w:numId w:val="12"/>
        </w:numPr>
      </w:pPr>
      <w:r>
        <w:t xml:space="preserve">TDA is eliminating the sponsor-under-sponsor model to ensure the </w:t>
      </w:r>
      <w:r w:rsidR="00B735D8">
        <w:t>removal</w:t>
      </w:r>
      <w:r>
        <w:t xml:space="preserve"> of unaccountable third-party organizations.</w:t>
      </w:r>
    </w:p>
    <w:p w14:paraId="5B37BDCE" w14:textId="77777777" w:rsidR="000D6128" w:rsidRDefault="000D6128" w:rsidP="000D6128">
      <w:pPr>
        <w:pStyle w:val="ListParagraph"/>
        <w:numPr>
          <w:ilvl w:val="0"/>
          <w:numId w:val="12"/>
        </w:numPr>
      </w:pPr>
      <w:r>
        <w:t>A</w:t>
      </w:r>
      <w:r w:rsidR="004D3403" w:rsidRPr="005E676F">
        <w:t>ny PY26 applications that are sponsor</w:t>
      </w:r>
      <w:r w:rsidR="004D3403">
        <w:t>-</w:t>
      </w:r>
      <w:r w:rsidR="004D3403" w:rsidRPr="005E676F">
        <w:t>under</w:t>
      </w:r>
      <w:r w:rsidR="004D3403">
        <w:t>-</w:t>
      </w:r>
      <w:r w:rsidR="004D3403" w:rsidRPr="005E676F">
        <w:t>sponsor</w:t>
      </w:r>
      <w:r>
        <w:t xml:space="preserve"> must be closed.</w:t>
      </w:r>
    </w:p>
    <w:p w14:paraId="5D7FFCBE" w14:textId="33BE7E22" w:rsidR="004D3403" w:rsidRPr="005E676F" w:rsidRDefault="000D6128" w:rsidP="000D6128">
      <w:pPr>
        <w:pStyle w:val="ListParagraph"/>
        <w:numPr>
          <w:ilvl w:val="0"/>
          <w:numId w:val="12"/>
        </w:numPr>
      </w:pPr>
      <w:r>
        <w:t>Create new site applications in PY27 directly between the site and sponsor.</w:t>
      </w:r>
      <w:r w:rsidR="004D3403" w:rsidRPr="005E676F">
        <w:t xml:space="preserve"> </w:t>
      </w:r>
    </w:p>
    <w:p w14:paraId="120FDAD2" w14:textId="77777777" w:rsidR="004D3403" w:rsidRPr="00496960" w:rsidRDefault="004D3403" w:rsidP="004D3403">
      <w:pPr>
        <w:rPr>
          <w:b/>
          <w:bCs/>
          <w:u w:val="single"/>
        </w:rPr>
      </w:pPr>
      <w:r w:rsidRPr="00496960">
        <w:rPr>
          <w:u w:val="single"/>
        </w:rPr>
        <w:t xml:space="preserve"> </w:t>
      </w:r>
      <w:r w:rsidRPr="00496960">
        <w:rPr>
          <w:b/>
          <w:bCs/>
          <w:u w:val="single"/>
        </w:rPr>
        <w:t>Supporting Documentation Updates:</w:t>
      </w:r>
    </w:p>
    <w:p w14:paraId="054A5CF2" w14:textId="77777777" w:rsidR="004D3403" w:rsidRPr="004D3403" w:rsidRDefault="004D3403" w:rsidP="004D3403">
      <w:pPr>
        <w:pStyle w:val="ListParagraph"/>
        <w:numPr>
          <w:ilvl w:val="0"/>
          <w:numId w:val="6"/>
        </w:numPr>
        <w:rPr>
          <w:b/>
          <w:bCs/>
        </w:rPr>
      </w:pPr>
      <w:r w:rsidRPr="004D3403">
        <w:rPr>
          <w:b/>
          <w:bCs/>
        </w:rPr>
        <w:t>Sponsor Operating Unaffiliated Site:</w:t>
      </w:r>
    </w:p>
    <w:p w14:paraId="70A752F7" w14:textId="31D2B07B" w:rsidR="004D3403" w:rsidRPr="005E676F" w:rsidRDefault="004D3403" w:rsidP="004D3403">
      <w:pPr>
        <w:pStyle w:val="ListParagraph"/>
        <w:numPr>
          <w:ilvl w:val="1"/>
          <w:numId w:val="6"/>
        </w:numPr>
      </w:pPr>
      <w:r w:rsidRPr="005E676F">
        <w:t>Permanent Agreement between the sponsoring organization and the childcare site.</w:t>
      </w:r>
    </w:p>
    <w:p w14:paraId="5E26BE32" w14:textId="77777777" w:rsidR="004D3403" w:rsidRPr="004D3403" w:rsidRDefault="004D3403" w:rsidP="004D3403">
      <w:pPr>
        <w:pStyle w:val="ListParagraph"/>
        <w:numPr>
          <w:ilvl w:val="0"/>
          <w:numId w:val="6"/>
        </w:numPr>
        <w:rPr>
          <w:b/>
          <w:bCs/>
        </w:rPr>
      </w:pPr>
      <w:r w:rsidRPr="004D3403">
        <w:rPr>
          <w:b/>
          <w:bCs/>
        </w:rPr>
        <w:t>Sponsor Operating Affiliated Site:</w:t>
      </w:r>
    </w:p>
    <w:p w14:paraId="0F5B76BC" w14:textId="77777777" w:rsidR="004D3403" w:rsidRPr="005E676F" w:rsidRDefault="004D3403" w:rsidP="004D3403">
      <w:pPr>
        <w:pStyle w:val="ListParagraph"/>
        <w:numPr>
          <w:ilvl w:val="1"/>
          <w:numId w:val="6"/>
        </w:numPr>
      </w:pPr>
      <w:r w:rsidRPr="005E676F">
        <w:t>Memorandum of Understanding (MOU) must include:</w:t>
      </w:r>
    </w:p>
    <w:p w14:paraId="42E6B35C" w14:textId="77777777" w:rsidR="004D3403" w:rsidRPr="005E676F" w:rsidRDefault="004D3403" w:rsidP="004D3403">
      <w:pPr>
        <w:pStyle w:val="ListParagraph"/>
        <w:numPr>
          <w:ilvl w:val="2"/>
          <w:numId w:val="6"/>
        </w:numPr>
      </w:pPr>
      <w:r w:rsidRPr="005E676F">
        <w:t>Sponsoring organization name</w:t>
      </w:r>
    </w:p>
    <w:p w14:paraId="277B9894" w14:textId="77777777" w:rsidR="004D3403" w:rsidRPr="005E676F" w:rsidRDefault="004D3403" w:rsidP="004D3403">
      <w:pPr>
        <w:pStyle w:val="ListParagraph"/>
        <w:numPr>
          <w:ilvl w:val="2"/>
          <w:numId w:val="6"/>
        </w:numPr>
      </w:pPr>
      <w:r w:rsidRPr="005E676F">
        <w:t>Site name</w:t>
      </w:r>
    </w:p>
    <w:p w14:paraId="4B993C88" w14:textId="77777777" w:rsidR="004D3403" w:rsidRPr="005E676F" w:rsidRDefault="004D3403" w:rsidP="004D3403">
      <w:pPr>
        <w:pStyle w:val="ListParagraph"/>
        <w:numPr>
          <w:ilvl w:val="2"/>
          <w:numId w:val="6"/>
        </w:numPr>
      </w:pPr>
      <w:r w:rsidRPr="005E676F">
        <w:t>Title and position of the site’s signatory authority</w:t>
      </w:r>
    </w:p>
    <w:p w14:paraId="277AF70F" w14:textId="5AD75268" w:rsidR="004D3403" w:rsidRPr="005E676F" w:rsidRDefault="004D3403" w:rsidP="000D6128">
      <w:pPr>
        <w:pStyle w:val="ListParagraph"/>
        <w:numPr>
          <w:ilvl w:val="2"/>
          <w:numId w:val="6"/>
        </w:numPr>
      </w:pPr>
      <w:r w:rsidRPr="005E676F">
        <w:t>Understanding that the sponsor will operate CACFP on the premises.</w:t>
      </w:r>
    </w:p>
    <w:p w14:paraId="1FB300E7" w14:textId="412B9D37" w:rsidR="004D3403" w:rsidRPr="00496960" w:rsidRDefault="004D3403" w:rsidP="004D3403">
      <w:pPr>
        <w:rPr>
          <w:b/>
          <w:bCs/>
          <w:u w:val="single"/>
        </w:rPr>
      </w:pPr>
      <w:r w:rsidRPr="00496960">
        <w:rPr>
          <w:b/>
          <w:bCs/>
          <w:u w:val="single"/>
        </w:rPr>
        <w:t>Financial Viability:</w:t>
      </w:r>
    </w:p>
    <w:p w14:paraId="31366387" w14:textId="77777777" w:rsidR="004D3403" w:rsidRPr="005E676F" w:rsidRDefault="004D3403" w:rsidP="004D3403">
      <w:pPr>
        <w:pStyle w:val="ListParagraph"/>
        <w:numPr>
          <w:ilvl w:val="0"/>
          <w:numId w:val="8"/>
        </w:numPr>
      </w:pPr>
      <w:r w:rsidRPr="005E676F">
        <w:t>Organizations must have access to steady funds outside TDA</w:t>
      </w:r>
      <w:r>
        <w:t>-</w:t>
      </w:r>
      <w:r w:rsidRPr="005E676F">
        <w:t>administered nutrition programs.</w:t>
      </w:r>
    </w:p>
    <w:p w14:paraId="0E950212" w14:textId="77777777" w:rsidR="004D3403" w:rsidRPr="005E676F" w:rsidRDefault="004D3403" w:rsidP="004D3403">
      <w:pPr>
        <w:pStyle w:val="ListParagraph"/>
        <w:numPr>
          <w:ilvl w:val="0"/>
          <w:numId w:val="8"/>
        </w:numPr>
      </w:pPr>
      <w:r w:rsidRPr="005E676F">
        <w:t>Loans and lines of credit are considered liabilities.</w:t>
      </w:r>
    </w:p>
    <w:p w14:paraId="057D1FB8" w14:textId="77777777" w:rsidR="004D3403" w:rsidRPr="00496960" w:rsidRDefault="004D3403" w:rsidP="004D3403">
      <w:pPr>
        <w:rPr>
          <w:b/>
          <w:bCs/>
          <w:u w:val="single"/>
        </w:rPr>
      </w:pPr>
      <w:r w:rsidRPr="00496960">
        <w:rPr>
          <w:u w:val="single"/>
        </w:rPr>
        <w:t xml:space="preserve"> </w:t>
      </w:r>
      <w:r w:rsidRPr="00496960">
        <w:rPr>
          <w:b/>
          <w:bCs/>
          <w:u w:val="single"/>
        </w:rPr>
        <w:t>Enrichment Activities (At-Risk Sites):</w:t>
      </w:r>
    </w:p>
    <w:p w14:paraId="2C368BA5" w14:textId="77777777" w:rsidR="004D3403" w:rsidRDefault="004D3403" w:rsidP="004D3403">
      <w:pPr>
        <w:pStyle w:val="ListParagraph"/>
        <w:numPr>
          <w:ilvl w:val="0"/>
          <w:numId w:val="9"/>
        </w:numPr>
      </w:pPr>
      <w:r w:rsidRPr="005E676F">
        <w:t>Unaffiliated organizations signing a permanent agreement with a sponsor for At</w:t>
      </w:r>
      <w:r>
        <w:t>-</w:t>
      </w:r>
      <w:r w:rsidRPr="005E676F">
        <w:t>Risk sites must manage childcare and enrichment activities.</w:t>
      </w:r>
    </w:p>
    <w:p w14:paraId="4397FC74" w14:textId="77777777" w:rsidR="004D3403" w:rsidRPr="005E676F" w:rsidRDefault="004D3403" w:rsidP="004D3403">
      <w:pPr>
        <w:pStyle w:val="ListParagraph"/>
        <w:numPr>
          <w:ilvl w:val="0"/>
          <w:numId w:val="9"/>
        </w:numPr>
      </w:pPr>
      <w:r w:rsidRPr="004D3403">
        <w:t>Enrichment activities documentation must indicate how the activities are regularly scheduled, structured, and adult-supervised.</w:t>
      </w:r>
    </w:p>
    <w:p w14:paraId="38BCBADE" w14:textId="77777777" w:rsidR="004D3403" w:rsidRPr="00496960" w:rsidRDefault="004D3403" w:rsidP="004D3403">
      <w:pPr>
        <w:rPr>
          <w:b/>
          <w:bCs/>
          <w:u w:val="single"/>
        </w:rPr>
      </w:pPr>
      <w:r w:rsidRPr="00496960">
        <w:rPr>
          <w:u w:val="single"/>
        </w:rPr>
        <w:t xml:space="preserve"> </w:t>
      </w:r>
      <w:r w:rsidRPr="00496960">
        <w:rPr>
          <w:b/>
          <w:bCs/>
          <w:u w:val="single"/>
        </w:rPr>
        <w:t>New Sponsors Adding Sites/Enrollment:</w:t>
      </w:r>
    </w:p>
    <w:p w14:paraId="3B59B07D" w14:textId="77777777" w:rsidR="004D3403" w:rsidRPr="005E676F" w:rsidRDefault="004D3403" w:rsidP="004D3403">
      <w:pPr>
        <w:pStyle w:val="ListParagraph"/>
        <w:numPr>
          <w:ilvl w:val="0"/>
          <w:numId w:val="10"/>
        </w:numPr>
      </w:pPr>
      <w:r w:rsidRPr="005E676F">
        <w:t>New sponsors cannot add new providers or unaffiliated sites in the first 12 months beyond initial application approvals.</w:t>
      </w:r>
    </w:p>
    <w:p w14:paraId="1119CAC5" w14:textId="463E3F00" w:rsidR="00B81E74" w:rsidRPr="000D6128" w:rsidRDefault="004D3403" w:rsidP="005E676F">
      <w:pPr>
        <w:pStyle w:val="ListParagraph"/>
        <w:numPr>
          <w:ilvl w:val="0"/>
          <w:numId w:val="10"/>
        </w:numPr>
      </w:pPr>
      <w:r w:rsidRPr="005E676F">
        <w:t>No new affiliated sites can be added at locations where the sponsor is not legally affiliated during the first 12 months.</w:t>
      </w:r>
    </w:p>
    <w:p w14:paraId="3758C687" w14:textId="25849E91" w:rsidR="005E676F" w:rsidRPr="005E676F" w:rsidRDefault="005E676F" w:rsidP="00B81E74">
      <w:pPr>
        <w:jc w:val="center"/>
        <w:rPr>
          <w:b/>
          <w:bCs/>
        </w:rPr>
      </w:pPr>
      <w:r w:rsidRPr="005E676F">
        <w:rPr>
          <w:b/>
          <w:bCs/>
        </w:rPr>
        <w:lastRenderedPageBreak/>
        <w:t>REMINDERS:</w:t>
      </w:r>
    </w:p>
    <w:p w14:paraId="63C4ED60" w14:textId="6197C17B" w:rsidR="005E676F" w:rsidRPr="005E676F" w:rsidRDefault="005E676F" w:rsidP="005E676F">
      <w:pPr>
        <w:pStyle w:val="ListParagraph"/>
        <w:numPr>
          <w:ilvl w:val="0"/>
          <w:numId w:val="1"/>
        </w:numPr>
      </w:pPr>
      <w:r w:rsidRPr="00496960">
        <w:rPr>
          <w:b/>
          <w:bCs/>
          <w:u w:val="single"/>
        </w:rPr>
        <w:t>BUDGET</w:t>
      </w:r>
      <w:r w:rsidRPr="005E676F">
        <w:t>:</w:t>
      </w:r>
    </w:p>
    <w:p w14:paraId="14D36EE5" w14:textId="1E33E3AD" w:rsidR="005E676F" w:rsidRPr="005E676F" w:rsidRDefault="005E676F" w:rsidP="005E676F">
      <w:pPr>
        <w:pStyle w:val="ListParagraph"/>
        <w:numPr>
          <w:ilvl w:val="1"/>
          <w:numId w:val="1"/>
        </w:numPr>
      </w:pPr>
      <w:r w:rsidRPr="005E676F">
        <w:t>Complete all updates in PY26 and ensure approval before enrolling in PY27.</w:t>
      </w:r>
    </w:p>
    <w:p w14:paraId="78FEEFD1" w14:textId="5FD52B6A" w:rsidR="005E676F" w:rsidRPr="005E676F" w:rsidRDefault="005E676F" w:rsidP="005E676F">
      <w:pPr>
        <w:pStyle w:val="ListParagraph"/>
        <w:numPr>
          <w:ilvl w:val="1"/>
          <w:numId w:val="1"/>
        </w:numPr>
      </w:pPr>
      <w:r w:rsidRPr="005E676F">
        <w:t>Changes made after enrollment will not roll over to PY27.</w:t>
      </w:r>
    </w:p>
    <w:p w14:paraId="6743244D" w14:textId="06E161C2" w:rsidR="005E676F" w:rsidRPr="00496960" w:rsidRDefault="005E676F" w:rsidP="005E676F">
      <w:pPr>
        <w:pStyle w:val="ListParagraph"/>
        <w:numPr>
          <w:ilvl w:val="0"/>
          <w:numId w:val="1"/>
        </w:numPr>
        <w:rPr>
          <w:u w:val="single"/>
        </w:rPr>
      </w:pPr>
      <w:r w:rsidRPr="00496960">
        <w:rPr>
          <w:b/>
          <w:bCs/>
          <w:u w:val="single"/>
        </w:rPr>
        <w:t>MANAGEMENT PLAN</w:t>
      </w:r>
      <w:r w:rsidRPr="00496960">
        <w:rPr>
          <w:u w:val="single"/>
        </w:rPr>
        <w:t>:</w:t>
      </w:r>
    </w:p>
    <w:p w14:paraId="178E83FD" w14:textId="691B2886" w:rsidR="005E676F" w:rsidRPr="005E676F" w:rsidRDefault="005E676F" w:rsidP="005E676F">
      <w:pPr>
        <w:pStyle w:val="ListParagraph"/>
        <w:numPr>
          <w:ilvl w:val="1"/>
          <w:numId w:val="1"/>
        </w:numPr>
      </w:pPr>
      <w:r w:rsidRPr="005E676F">
        <w:t>Updates must be completed and approved in PY26 before PY27 enrollment.</w:t>
      </w:r>
    </w:p>
    <w:p w14:paraId="516A4B03" w14:textId="7C5D2E11" w:rsidR="005E676F" w:rsidRPr="00496960" w:rsidRDefault="005E676F" w:rsidP="005E676F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 w:rsidRPr="00496960">
        <w:rPr>
          <w:b/>
          <w:bCs/>
          <w:u w:val="single"/>
        </w:rPr>
        <w:t>ANNUAL AUDIT SCREEN:</w:t>
      </w:r>
    </w:p>
    <w:p w14:paraId="46D2B096" w14:textId="78779A97" w:rsidR="005E676F" w:rsidRPr="005E676F" w:rsidRDefault="005E676F" w:rsidP="005E676F">
      <w:pPr>
        <w:pStyle w:val="ListParagraph"/>
        <w:numPr>
          <w:ilvl w:val="1"/>
          <w:numId w:val="3"/>
        </w:numPr>
      </w:pPr>
      <w:r w:rsidRPr="005E676F">
        <w:t>Required for all organizations except Federal entities.</w:t>
      </w:r>
    </w:p>
    <w:p w14:paraId="1BCD36D9" w14:textId="5BB5E350" w:rsidR="005E676F" w:rsidRPr="00496960" w:rsidRDefault="005E676F" w:rsidP="005E676F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 w:rsidRPr="00496960">
        <w:rPr>
          <w:b/>
          <w:bCs/>
          <w:u w:val="single"/>
        </w:rPr>
        <w:t>NEW PRINCIPALS:</w:t>
      </w:r>
    </w:p>
    <w:p w14:paraId="505A804B" w14:textId="5E57D45F" w:rsidR="005E676F" w:rsidRPr="005E676F" w:rsidRDefault="005E676F" w:rsidP="005E676F">
      <w:pPr>
        <w:pStyle w:val="ListParagraph"/>
        <w:numPr>
          <w:ilvl w:val="1"/>
          <w:numId w:val="3"/>
        </w:numPr>
      </w:pPr>
      <w:r w:rsidRPr="005E676F">
        <w:t xml:space="preserve">Submit a valid </w:t>
      </w:r>
      <w:r>
        <w:t>government-issued</w:t>
      </w:r>
      <w:r w:rsidRPr="005E676F">
        <w:t xml:space="preserve"> ID for each new principal listed in the Contracting Entity Application.</w:t>
      </w:r>
    </w:p>
    <w:p w14:paraId="3AF894C3" w14:textId="053A752F" w:rsidR="005E676F" w:rsidRPr="00496960" w:rsidRDefault="005E676F" w:rsidP="005E676F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 w:rsidRPr="00496960">
        <w:rPr>
          <w:b/>
          <w:bCs/>
          <w:u w:val="single"/>
        </w:rPr>
        <w:t>ANTICIPATED ANNUAL REIMBURSEMENT:</w:t>
      </w:r>
    </w:p>
    <w:p w14:paraId="77719889" w14:textId="101CD7C2" w:rsidR="005E676F" w:rsidRPr="005E676F" w:rsidRDefault="005E676F" w:rsidP="005E676F">
      <w:pPr>
        <w:pStyle w:val="ListParagraph"/>
        <w:numPr>
          <w:ilvl w:val="1"/>
          <w:numId w:val="3"/>
        </w:numPr>
      </w:pPr>
      <w:r w:rsidRPr="005E676F">
        <w:t>Update the Contracting Entity Budget Detail to reflect changes in site enrollment for PY27.</w:t>
      </w:r>
    </w:p>
    <w:p w14:paraId="5BF5A8E4" w14:textId="523207C8" w:rsidR="005E676F" w:rsidRPr="00496960" w:rsidRDefault="005E676F" w:rsidP="005E676F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 w:rsidRPr="00496960">
        <w:rPr>
          <w:b/>
          <w:bCs/>
          <w:u w:val="single"/>
        </w:rPr>
        <w:t>AT RISK SITES:</w:t>
      </w:r>
    </w:p>
    <w:p w14:paraId="7A5D2D08" w14:textId="6BC3E096" w:rsidR="005E676F" w:rsidRPr="005E676F" w:rsidRDefault="005E676F" w:rsidP="005E676F">
      <w:pPr>
        <w:pStyle w:val="ListParagraph"/>
        <w:numPr>
          <w:ilvl w:val="1"/>
          <w:numId w:val="3"/>
        </w:numPr>
      </w:pPr>
      <w:r w:rsidRPr="005E676F">
        <w:t>To serve in AUGUST 2026, submit a CACFP application in the 2025</w:t>
      </w:r>
      <w:r w:rsidR="00B81E74">
        <w:t>-</w:t>
      </w:r>
      <w:r w:rsidRPr="005E676F">
        <w:t>2026 section of TXUNPS.</w:t>
      </w:r>
    </w:p>
    <w:p w14:paraId="639595EC" w14:textId="548BD85F" w:rsidR="005E676F" w:rsidRPr="005E676F" w:rsidRDefault="005E676F" w:rsidP="005E676F">
      <w:pPr>
        <w:pStyle w:val="ListParagraph"/>
        <w:numPr>
          <w:ilvl w:val="1"/>
          <w:numId w:val="3"/>
        </w:numPr>
      </w:pPr>
      <w:r w:rsidRPr="005E676F">
        <w:t>To begin claims in OCTOBER 2026, submit a CACFP application in the 2026</w:t>
      </w:r>
      <w:r w:rsidR="00B81E74">
        <w:t>-</w:t>
      </w:r>
      <w:r w:rsidRPr="005E676F">
        <w:t>2027 section.</w:t>
      </w:r>
    </w:p>
    <w:p w14:paraId="7CA56F0C" w14:textId="77777777" w:rsidR="005E676F" w:rsidRPr="005E676F" w:rsidRDefault="005E676F" w:rsidP="005E676F"/>
    <w:p w14:paraId="51B77475" w14:textId="1727C06E" w:rsidR="005E676F" w:rsidRPr="005E676F" w:rsidRDefault="005E676F" w:rsidP="004D3403">
      <w:r w:rsidRPr="005E676F">
        <w:rPr>
          <w:b/>
          <w:bCs/>
        </w:rPr>
        <w:t xml:space="preserve"> </w:t>
      </w:r>
    </w:p>
    <w:p w14:paraId="22645441" w14:textId="77777777" w:rsidR="002B0886" w:rsidRDefault="002B0886"/>
    <w:sectPr w:rsidR="002B0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83E"/>
    <w:multiLevelType w:val="hybridMultilevel"/>
    <w:tmpl w:val="51EAE2D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C32866"/>
    <w:multiLevelType w:val="hybridMultilevel"/>
    <w:tmpl w:val="2CC275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80312"/>
    <w:multiLevelType w:val="hybridMultilevel"/>
    <w:tmpl w:val="4126AE42"/>
    <w:lvl w:ilvl="0" w:tplc="0409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25D45C98"/>
    <w:multiLevelType w:val="hybridMultilevel"/>
    <w:tmpl w:val="F854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86554"/>
    <w:multiLevelType w:val="hybridMultilevel"/>
    <w:tmpl w:val="3C0AA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890AFC"/>
    <w:multiLevelType w:val="hybridMultilevel"/>
    <w:tmpl w:val="13E6CEA8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 w15:restartNumberingAfterBreak="0">
    <w:nsid w:val="4EFB3FC9"/>
    <w:multiLevelType w:val="hybridMultilevel"/>
    <w:tmpl w:val="BCD60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65D04"/>
    <w:multiLevelType w:val="hybridMultilevel"/>
    <w:tmpl w:val="5262D34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873C73"/>
    <w:multiLevelType w:val="hybridMultilevel"/>
    <w:tmpl w:val="DA72F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5322E"/>
    <w:multiLevelType w:val="hybridMultilevel"/>
    <w:tmpl w:val="B43CD9EE"/>
    <w:lvl w:ilvl="0" w:tplc="0409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0" w15:restartNumberingAfterBreak="0">
    <w:nsid w:val="66D430AB"/>
    <w:multiLevelType w:val="hybridMultilevel"/>
    <w:tmpl w:val="F82C3E50"/>
    <w:lvl w:ilvl="0" w:tplc="0409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1" w15:restartNumberingAfterBreak="0">
    <w:nsid w:val="6FF85D5B"/>
    <w:multiLevelType w:val="hybridMultilevel"/>
    <w:tmpl w:val="8B1083F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0430050">
    <w:abstractNumId w:val="5"/>
  </w:num>
  <w:num w:numId="2" w16cid:durableId="1662732784">
    <w:abstractNumId w:val="4"/>
  </w:num>
  <w:num w:numId="3" w16cid:durableId="362748874">
    <w:abstractNumId w:val="6"/>
  </w:num>
  <w:num w:numId="4" w16cid:durableId="326174485">
    <w:abstractNumId w:val="11"/>
  </w:num>
  <w:num w:numId="5" w16cid:durableId="883059457">
    <w:abstractNumId w:val="7"/>
  </w:num>
  <w:num w:numId="6" w16cid:durableId="2108191098">
    <w:abstractNumId w:val="3"/>
  </w:num>
  <w:num w:numId="7" w16cid:durableId="1242712692">
    <w:abstractNumId w:val="0"/>
  </w:num>
  <w:num w:numId="8" w16cid:durableId="2088795717">
    <w:abstractNumId w:val="10"/>
  </w:num>
  <w:num w:numId="9" w16cid:durableId="963579099">
    <w:abstractNumId w:val="9"/>
  </w:num>
  <w:num w:numId="10" w16cid:durableId="1693066983">
    <w:abstractNumId w:val="2"/>
  </w:num>
  <w:num w:numId="11" w16cid:durableId="1198935409">
    <w:abstractNumId w:val="1"/>
  </w:num>
  <w:num w:numId="12" w16cid:durableId="1340817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6F"/>
    <w:rsid w:val="000153E6"/>
    <w:rsid w:val="000D6128"/>
    <w:rsid w:val="001428E8"/>
    <w:rsid w:val="002B0886"/>
    <w:rsid w:val="0042029E"/>
    <w:rsid w:val="004434E5"/>
    <w:rsid w:val="00484C25"/>
    <w:rsid w:val="00496960"/>
    <w:rsid w:val="004D3403"/>
    <w:rsid w:val="005E676F"/>
    <w:rsid w:val="007210D1"/>
    <w:rsid w:val="00B735D8"/>
    <w:rsid w:val="00B81E74"/>
    <w:rsid w:val="00CB43C5"/>
    <w:rsid w:val="00F8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7D743"/>
  <w15:chartTrackingRefBased/>
  <w15:docId w15:val="{3019CEEE-AE8E-4528-B277-C885392D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7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7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7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7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7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7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7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7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7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7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7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7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7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7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Shaw</dc:creator>
  <cp:keywords/>
  <dc:description/>
  <cp:lastModifiedBy>Natalie Shaw</cp:lastModifiedBy>
  <cp:revision>5</cp:revision>
  <dcterms:created xsi:type="dcterms:W3CDTF">2026-07-07T17:53:00Z</dcterms:created>
  <dcterms:modified xsi:type="dcterms:W3CDTF">2026-07-08T16:23:00Z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498b1cce-ab18-4428-bdf5-9c3e7c7789d1</vt:lpwstr>
  </property>
</Properties>
</file>